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3FC98" w14:textId="77777777" w:rsidR="000B6BA9" w:rsidRPr="00C67BFD" w:rsidRDefault="000B6BA9" w:rsidP="000B6BA9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>IL CONSIGLIO COMUNALE</w:t>
      </w:r>
    </w:p>
    <w:p w14:paraId="1C1E36E0" w14:textId="77777777" w:rsidR="000B6BA9" w:rsidRPr="006A5413" w:rsidRDefault="000B6BA9" w:rsidP="000B6BA9">
      <w:pPr>
        <w:jc w:val="both"/>
        <w:rPr>
          <w:rFonts w:ascii="Calibri Light" w:hAnsi="Calibri Light" w:cs="Calibri Light"/>
          <w:sz w:val="24"/>
          <w:szCs w:val="24"/>
        </w:rPr>
      </w:pPr>
      <w:r w:rsidRPr="006A5413">
        <w:rPr>
          <w:rFonts w:ascii="Calibri Light" w:hAnsi="Calibri Light" w:cs="Calibri Light"/>
          <w:b/>
          <w:bCs/>
          <w:sz w:val="24"/>
          <w:szCs w:val="24"/>
        </w:rPr>
        <w:t>PREMESSO</w:t>
      </w:r>
      <w:r w:rsidRPr="006A5413">
        <w:rPr>
          <w:rFonts w:ascii="Calibri Light" w:hAnsi="Calibri Light" w:cs="Calibri Light"/>
          <w:sz w:val="24"/>
          <w:szCs w:val="24"/>
        </w:rPr>
        <w:t xml:space="preserve"> che nel Comune di Villacidro opera l’Istituzione Comunale denominata “Istituzione Scuola Civica di Musica” costituita con deliberazione di Consiglio Comunale n. 73 del 28.11.2008, ai sensi dell’art. 113 bis comma 1 – Lett. A) e art. 114 del </w:t>
      </w:r>
      <w:proofErr w:type="spellStart"/>
      <w:r w:rsidRPr="006A5413">
        <w:rPr>
          <w:rFonts w:ascii="Calibri Light" w:hAnsi="Calibri Light" w:cs="Calibri Light"/>
          <w:sz w:val="24"/>
          <w:szCs w:val="24"/>
        </w:rPr>
        <w:t>D.Lgs.</w:t>
      </w:r>
      <w:proofErr w:type="spellEnd"/>
      <w:r w:rsidRPr="006A5413">
        <w:rPr>
          <w:rFonts w:ascii="Calibri Light" w:hAnsi="Calibri Light" w:cs="Calibri Light"/>
          <w:sz w:val="24"/>
          <w:szCs w:val="24"/>
        </w:rPr>
        <w:t xml:space="preserve"> n. 267/2000;</w:t>
      </w:r>
    </w:p>
    <w:p w14:paraId="4E2BF92E" w14:textId="77777777" w:rsidR="000B6BA9" w:rsidRPr="006A5413" w:rsidRDefault="000B6BA9" w:rsidP="000B6BA9">
      <w:pPr>
        <w:jc w:val="both"/>
        <w:rPr>
          <w:rFonts w:ascii="Calibri Light" w:hAnsi="Calibri Light" w:cs="Calibri Light"/>
          <w:sz w:val="24"/>
          <w:szCs w:val="24"/>
        </w:rPr>
      </w:pPr>
      <w:r w:rsidRPr="006A5413">
        <w:rPr>
          <w:rFonts w:asciiTheme="majorHAnsi" w:hAnsiTheme="majorHAnsi" w:cstheme="majorHAnsi"/>
          <w:b/>
          <w:bCs/>
          <w:sz w:val="24"/>
          <w:szCs w:val="24"/>
        </w:rPr>
        <w:t>VISTA</w:t>
      </w:r>
      <w:r w:rsidRPr="006A5413">
        <w:rPr>
          <w:rFonts w:asciiTheme="majorHAnsi" w:hAnsiTheme="majorHAnsi" w:cstheme="majorHAnsi"/>
          <w:sz w:val="24"/>
          <w:szCs w:val="24"/>
        </w:rPr>
        <w:t xml:space="preserve"> la Legge Regionale n. 28 del 15.10.1997 avente ad oggetto “Interventi in favore della Istituzione delle Scuole Civiche di Musica”;</w:t>
      </w:r>
    </w:p>
    <w:p w14:paraId="08033055" w14:textId="77777777" w:rsidR="000B6BA9" w:rsidRPr="006A5413" w:rsidRDefault="000B6BA9" w:rsidP="000B6BA9">
      <w:pPr>
        <w:jc w:val="both"/>
        <w:rPr>
          <w:rFonts w:ascii="Calibri Light" w:hAnsi="Calibri Light" w:cs="Calibri Light"/>
          <w:sz w:val="24"/>
          <w:szCs w:val="24"/>
        </w:rPr>
      </w:pPr>
      <w:r w:rsidRPr="006A5413">
        <w:rPr>
          <w:rFonts w:ascii="Calibri Light" w:hAnsi="Calibri Light" w:cs="Calibri Light"/>
          <w:b/>
          <w:bCs/>
          <w:sz w:val="24"/>
          <w:szCs w:val="24"/>
        </w:rPr>
        <w:t xml:space="preserve">RICHIAMATA </w:t>
      </w:r>
      <w:r w:rsidRPr="006A5413">
        <w:rPr>
          <w:rFonts w:ascii="Calibri Light" w:hAnsi="Calibri Light" w:cs="Calibri Light"/>
          <w:sz w:val="24"/>
          <w:szCs w:val="24"/>
        </w:rPr>
        <w:t>la delibera del Consiglio Comunale n. 54 del 28.12.2020 di modifica allo Statuto;</w:t>
      </w:r>
    </w:p>
    <w:p w14:paraId="7D61DF74" w14:textId="77777777" w:rsidR="000B6BA9" w:rsidRPr="006A5413" w:rsidRDefault="000B6BA9" w:rsidP="000B6BA9">
      <w:pPr>
        <w:autoSpaceDE w:val="0"/>
        <w:autoSpaceDN w:val="0"/>
        <w:adjustRightInd w:val="0"/>
        <w:spacing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b/>
          <w:bCs/>
          <w:color w:val="000000"/>
          <w:sz w:val="24"/>
          <w:szCs w:val="24"/>
        </w:rPr>
        <w:t>DATO ATTO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che </w:t>
      </w:r>
      <w:r w:rsidRPr="006A5413">
        <w:rPr>
          <w:rFonts w:ascii="Calibri Light" w:hAnsi="Calibri Light" w:cs="Calibri Light"/>
          <w:color w:val="000000"/>
          <w:sz w:val="24"/>
          <w:szCs w:val="24"/>
          <w:highlight w:val="yellow"/>
        </w:rPr>
        <w:t>il Consiglio Comunale con le deliberazioni n. 8 del 26/03/2009, n. 37 del 27/11/2009, n. 47 del 10/09/2012, n. 24 del 04/08/2016 e n. 68 del 28/12/2017 ha accolto le richieste di adesione alla Scuola Civica di Musica dei Comuni di Gonnosfanadiga, Collinas, Segariu e Pabillonis;</w:t>
      </w:r>
    </w:p>
    <w:p w14:paraId="2EC65649" w14:textId="77777777" w:rsidR="000B6BA9" w:rsidRPr="006A5413" w:rsidRDefault="000B6BA9" w:rsidP="000B6BA9">
      <w:pPr>
        <w:autoSpaceDE w:val="0"/>
        <w:autoSpaceDN w:val="0"/>
        <w:adjustRightInd w:val="0"/>
        <w:spacing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b/>
          <w:bCs/>
          <w:color w:val="000000"/>
          <w:sz w:val="24"/>
          <w:szCs w:val="24"/>
        </w:rPr>
        <w:t>VISTA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la delibera di C.C. n. 52 del 28/12/2023 di accoglimento del Comune di Gergei;</w:t>
      </w:r>
    </w:p>
    <w:p w14:paraId="09E8ECCA" w14:textId="77777777" w:rsidR="000B6BA9" w:rsidRPr="006A5413" w:rsidRDefault="000B6BA9" w:rsidP="000B6BA9">
      <w:pPr>
        <w:autoSpaceDE w:val="0"/>
        <w:autoSpaceDN w:val="0"/>
        <w:adjustRightInd w:val="0"/>
        <w:spacing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b/>
          <w:bCs/>
          <w:color w:val="000000"/>
          <w:sz w:val="24"/>
          <w:szCs w:val="24"/>
        </w:rPr>
        <w:t>VISTO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l’art. 114 del </w:t>
      </w:r>
      <w:proofErr w:type="spellStart"/>
      <w:r w:rsidRPr="006A5413">
        <w:rPr>
          <w:rFonts w:ascii="Calibri Light" w:hAnsi="Calibri Light" w:cs="Calibri Light"/>
          <w:color w:val="000000"/>
          <w:sz w:val="24"/>
          <w:szCs w:val="24"/>
        </w:rPr>
        <w:t>D.Lgs.</w:t>
      </w:r>
      <w:proofErr w:type="spellEnd"/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267/2000 che disciplina le aziende speciali e le Istituzioni;</w:t>
      </w:r>
    </w:p>
    <w:p w14:paraId="47D0B2AF" w14:textId="77777777" w:rsidR="000B6BA9" w:rsidRPr="006A5413" w:rsidRDefault="000B6BA9" w:rsidP="000B6BA9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b/>
          <w:bCs/>
          <w:color w:val="000000"/>
          <w:sz w:val="24"/>
          <w:szCs w:val="24"/>
        </w:rPr>
        <w:t>PREMESSO CHE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>:</w:t>
      </w:r>
    </w:p>
    <w:p w14:paraId="2C63D158" w14:textId="77777777" w:rsidR="000B6BA9" w:rsidRPr="006A5413" w:rsidRDefault="000B6BA9" w:rsidP="000B6BA9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L’art. 151, comma 1 del </w:t>
      </w:r>
      <w:proofErr w:type="spellStart"/>
      <w:r w:rsidRPr="006A5413">
        <w:rPr>
          <w:rFonts w:ascii="Calibri Light" w:hAnsi="Calibri Light" w:cs="Calibri Light"/>
          <w:color w:val="000000"/>
          <w:sz w:val="24"/>
          <w:szCs w:val="24"/>
        </w:rPr>
        <w:t>D.Lgs.</w:t>
      </w:r>
      <w:proofErr w:type="spellEnd"/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267/2000 che prevede che gli enti locali deliberano il Bilancio di previsione finanziario entro il 31 Dicembre, riferiti ad un orizzonte temporale almeno triennale e che le previsioni del bilancio sono elaborate sulla base delle linee strategiche contenute nel Documento Unico di Programmazione, osservando i principi contabili generali ed applicati allegati al </w:t>
      </w:r>
      <w:proofErr w:type="spellStart"/>
      <w:r w:rsidRPr="006A5413">
        <w:rPr>
          <w:rFonts w:ascii="Calibri Light" w:hAnsi="Calibri Light" w:cs="Calibri Light"/>
          <w:color w:val="000000"/>
          <w:sz w:val="24"/>
          <w:szCs w:val="24"/>
        </w:rPr>
        <w:t>D.Lgs.</w:t>
      </w:r>
      <w:proofErr w:type="spellEnd"/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23/06/2011, n. 118, e successive modificazioni;</w:t>
      </w:r>
    </w:p>
    <w:p w14:paraId="0C62FAC8" w14:textId="77777777" w:rsidR="000B6BA9" w:rsidRPr="006A5413" w:rsidRDefault="000B6BA9" w:rsidP="000B6BA9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L’art. 162, comma 1, del </w:t>
      </w:r>
      <w:proofErr w:type="spellStart"/>
      <w:r w:rsidRPr="006A5413">
        <w:rPr>
          <w:rFonts w:ascii="Calibri Light" w:hAnsi="Calibri Light" w:cs="Calibri Light"/>
          <w:color w:val="000000"/>
          <w:sz w:val="24"/>
          <w:szCs w:val="24"/>
        </w:rPr>
        <w:t>D.Lgs</w:t>
      </w:r>
      <w:proofErr w:type="spellEnd"/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267/2000 che prevede che gli enti locali deliberano annualmente il Bilancio di previsione finanziario riferito ad almeno un triennio, comprendente le previsioni di competenza e di cassa del primo esercizio del periodo considerato e le previsioni di competenza degli esercizi successivi, osservando i principi contabili generali e applicati allegati al </w:t>
      </w:r>
      <w:proofErr w:type="spellStart"/>
      <w:r w:rsidRPr="006A5413">
        <w:rPr>
          <w:rFonts w:ascii="Calibri Light" w:hAnsi="Calibri Light" w:cs="Calibri Light"/>
          <w:color w:val="000000"/>
          <w:sz w:val="24"/>
          <w:szCs w:val="24"/>
        </w:rPr>
        <w:t>D.Lgs.</w:t>
      </w:r>
      <w:proofErr w:type="spellEnd"/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23/06/2011, n. 118, e successive modificazioni;</w:t>
      </w:r>
    </w:p>
    <w:p w14:paraId="4C3B8E04" w14:textId="77777777" w:rsidR="000B6BA9" w:rsidRPr="006A5413" w:rsidRDefault="000B6BA9" w:rsidP="000B6BA9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</w:p>
    <w:p w14:paraId="23C4149C" w14:textId="77777777" w:rsidR="000B6BA9" w:rsidRPr="006A5413" w:rsidRDefault="000B6BA9" w:rsidP="000B6BA9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b/>
          <w:bCs/>
          <w:color w:val="000000"/>
          <w:sz w:val="24"/>
          <w:szCs w:val="24"/>
        </w:rPr>
        <w:t>VISTO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il </w:t>
      </w:r>
      <w:proofErr w:type="spellStart"/>
      <w:r w:rsidRPr="006A5413">
        <w:rPr>
          <w:rFonts w:ascii="Calibri Light" w:hAnsi="Calibri Light" w:cs="Calibri Light"/>
          <w:color w:val="000000"/>
          <w:sz w:val="24"/>
          <w:szCs w:val="24"/>
        </w:rPr>
        <w:t>D.Lgs.</w:t>
      </w:r>
      <w:proofErr w:type="spellEnd"/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23/06/2011 n. 118, emanato in attuazione degli art. 1 e 2 della Legge 05/05/2009 n. 42 e recante “Disposizioni in materia di armonizzazione dei sistemi contabili e degli schemi di bilancio delle Regioni, degli enti locali e dei loro organismi”, come modificato e integrato dal </w:t>
      </w:r>
      <w:proofErr w:type="spellStart"/>
      <w:r w:rsidRPr="006A5413">
        <w:rPr>
          <w:rFonts w:ascii="Calibri Light" w:hAnsi="Calibri Light" w:cs="Calibri Light"/>
          <w:color w:val="000000"/>
          <w:sz w:val="24"/>
          <w:szCs w:val="24"/>
        </w:rPr>
        <w:t>D.Lgs.</w:t>
      </w:r>
      <w:proofErr w:type="spellEnd"/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10/08/2014, n. 126;</w:t>
      </w:r>
    </w:p>
    <w:p w14:paraId="34576064" w14:textId="77777777" w:rsidR="000B6BA9" w:rsidRPr="006A5413" w:rsidRDefault="000B6BA9" w:rsidP="000B6BA9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</w:p>
    <w:p w14:paraId="1719AD41" w14:textId="77777777" w:rsidR="000B6BA9" w:rsidRPr="006A5413" w:rsidRDefault="000B6BA9" w:rsidP="000B6BA9">
      <w:pPr>
        <w:autoSpaceDE w:val="0"/>
        <w:autoSpaceDN w:val="0"/>
        <w:adjustRightInd w:val="0"/>
        <w:spacing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b/>
          <w:bCs/>
          <w:color w:val="000000"/>
          <w:sz w:val="24"/>
          <w:szCs w:val="24"/>
        </w:rPr>
        <w:t>CONSIDERATO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che il punto 4.3 del principio applicato alla programmazione prevede per gli organismi ed enti strumentali degli enti locali un sistema di programmazione differenziato e semplificato rispetto al DUP che si traduce nell’elaborazione di un documento di programmazione almeno triennale denominato Piano Programma;</w:t>
      </w:r>
    </w:p>
    <w:p w14:paraId="4F1850AF" w14:textId="77777777" w:rsidR="000B6BA9" w:rsidRPr="006A5413" w:rsidRDefault="000B6BA9" w:rsidP="000B6BA9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b/>
          <w:bCs/>
          <w:color w:val="000000"/>
          <w:sz w:val="24"/>
          <w:szCs w:val="24"/>
        </w:rPr>
        <w:t>ESAMINATI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>:</w:t>
      </w:r>
    </w:p>
    <w:p w14:paraId="72DC1AA5" w14:textId="77777777" w:rsidR="000B6BA9" w:rsidRPr="006A5413" w:rsidRDefault="000B6BA9" w:rsidP="000B6BA9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color w:val="000000"/>
          <w:sz w:val="24"/>
          <w:szCs w:val="24"/>
        </w:rPr>
        <w:t>Il Piano Programma triennale e la nota al Bilancio di previsione;</w:t>
      </w:r>
    </w:p>
    <w:p w14:paraId="00F71A51" w14:textId="142CE794" w:rsidR="000B6BA9" w:rsidRPr="006A5413" w:rsidRDefault="000B6BA9" w:rsidP="000B6BA9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color w:val="000000"/>
          <w:sz w:val="24"/>
          <w:szCs w:val="24"/>
        </w:rPr>
        <w:t>Il Bilancio di previsione finanziario pluriennale e relativi allegati predisposti dalla Segreteria sulla base delle previsioni di entrata/spesa relative all’A.S. 202</w:t>
      </w:r>
      <w:r w:rsidR="006A5413">
        <w:rPr>
          <w:rFonts w:ascii="Calibri Light" w:hAnsi="Calibri Light" w:cs="Calibri Light"/>
          <w:color w:val="000000"/>
          <w:sz w:val="24"/>
          <w:szCs w:val="24"/>
        </w:rPr>
        <w:t>5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>/202</w:t>
      </w:r>
      <w:r w:rsidR="006A5413">
        <w:rPr>
          <w:rFonts w:ascii="Calibri Light" w:hAnsi="Calibri Light" w:cs="Calibri Light"/>
          <w:color w:val="000000"/>
          <w:sz w:val="24"/>
          <w:szCs w:val="24"/>
        </w:rPr>
        <w:t>7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e successivi che evidenzia, per il triennio 202</w:t>
      </w:r>
      <w:r w:rsidR="006A5413">
        <w:rPr>
          <w:rFonts w:ascii="Calibri Light" w:hAnsi="Calibri Light" w:cs="Calibri Light"/>
          <w:color w:val="000000"/>
          <w:sz w:val="24"/>
          <w:szCs w:val="24"/>
        </w:rPr>
        <w:t>5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>/202</w:t>
      </w:r>
      <w:r w:rsidR="006A5413">
        <w:rPr>
          <w:rFonts w:ascii="Calibri Light" w:hAnsi="Calibri Light" w:cs="Calibri Light"/>
          <w:color w:val="000000"/>
          <w:sz w:val="24"/>
          <w:szCs w:val="24"/>
        </w:rPr>
        <w:t>7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, un pareggio di bilancio pari a € </w:t>
      </w:r>
      <w:r w:rsidR="006A5413">
        <w:rPr>
          <w:rFonts w:ascii="Calibri Light" w:hAnsi="Calibri Light" w:cs="Calibri Light"/>
          <w:color w:val="000000"/>
          <w:sz w:val="24"/>
          <w:szCs w:val="24"/>
        </w:rPr>
        <w:t>165.444,15</w:t>
      </w:r>
      <w:r w:rsidR="00D701EA" w:rsidRPr="006A5413">
        <w:rPr>
          <w:rFonts w:ascii="Calibri Light" w:hAnsi="Calibri Light" w:cs="Calibri Light"/>
          <w:color w:val="000000"/>
          <w:sz w:val="24"/>
          <w:szCs w:val="24"/>
        </w:rPr>
        <w:t xml:space="preserve"> 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>per il 202</w:t>
      </w:r>
      <w:r w:rsidR="006A5413">
        <w:rPr>
          <w:rFonts w:ascii="Calibri Light" w:hAnsi="Calibri Light" w:cs="Calibri Light"/>
          <w:color w:val="000000"/>
          <w:sz w:val="24"/>
          <w:szCs w:val="24"/>
        </w:rPr>
        <w:t>5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, € </w:t>
      </w:r>
      <w:r w:rsidR="006A5413" w:rsidRPr="006A5413">
        <w:rPr>
          <w:rFonts w:ascii="Calibri Light" w:hAnsi="Calibri Light" w:cs="Calibri Light"/>
          <w:color w:val="000000"/>
          <w:sz w:val="24"/>
          <w:szCs w:val="24"/>
        </w:rPr>
        <w:t xml:space="preserve">€ </w:t>
      </w:r>
      <w:r w:rsidR="006A5413">
        <w:rPr>
          <w:rFonts w:ascii="Calibri Light" w:hAnsi="Calibri Light" w:cs="Calibri Light"/>
          <w:color w:val="000000"/>
          <w:sz w:val="24"/>
          <w:szCs w:val="24"/>
        </w:rPr>
        <w:t>165.444,15</w:t>
      </w:r>
      <w:r w:rsidR="006A5413" w:rsidRPr="006A5413">
        <w:rPr>
          <w:rFonts w:ascii="Calibri Light" w:hAnsi="Calibri Light" w:cs="Calibri Light"/>
          <w:color w:val="000000"/>
          <w:sz w:val="24"/>
          <w:szCs w:val="24"/>
        </w:rPr>
        <w:t xml:space="preserve"> 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>per il 202</w:t>
      </w:r>
      <w:r w:rsidR="006A5413">
        <w:rPr>
          <w:rFonts w:ascii="Calibri Light" w:hAnsi="Calibri Light" w:cs="Calibri Light"/>
          <w:color w:val="000000"/>
          <w:sz w:val="24"/>
          <w:szCs w:val="24"/>
        </w:rPr>
        <w:t>6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e </w:t>
      </w:r>
      <w:r w:rsidR="006A5413" w:rsidRPr="006A5413">
        <w:rPr>
          <w:rFonts w:ascii="Calibri Light" w:hAnsi="Calibri Light" w:cs="Calibri Light"/>
          <w:color w:val="000000"/>
          <w:sz w:val="24"/>
          <w:szCs w:val="24"/>
        </w:rPr>
        <w:t xml:space="preserve">€ </w:t>
      </w:r>
      <w:r w:rsidR="006A5413">
        <w:rPr>
          <w:rFonts w:ascii="Calibri Light" w:hAnsi="Calibri Light" w:cs="Calibri Light"/>
          <w:color w:val="000000"/>
          <w:sz w:val="24"/>
          <w:szCs w:val="24"/>
        </w:rPr>
        <w:t>165.444,15</w:t>
      </w:r>
      <w:r w:rsidR="006A5413" w:rsidRPr="006A5413">
        <w:rPr>
          <w:rFonts w:ascii="Calibri Light" w:hAnsi="Calibri Light" w:cs="Calibri Light"/>
          <w:color w:val="000000"/>
          <w:sz w:val="24"/>
          <w:szCs w:val="24"/>
        </w:rPr>
        <w:t xml:space="preserve"> 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>per il 202</w:t>
      </w:r>
      <w:r w:rsidR="006A5413">
        <w:rPr>
          <w:rFonts w:ascii="Calibri Light" w:hAnsi="Calibri Light" w:cs="Calibri Light"/>
          <w:color w:val="000000"/>
          <w:sz w:val="24"/>
          <w:szCs w:val="24"/>
        </w:rPr>
        <w:t>7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>;</w:t>
      </w:r>
    </w:p>
    <w:p w14:paraId="22B937F8" w14:textId="77777777" w:rsidR="000B6BA9" w:rsidRPr="006A5413" w:rsidRDefault="000B6BA9" w:rsidP="000B6BA9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</w:p>
    <w:p w14:paraId="36A4F4D2" w14:textId="1EFF1A4B" w:rsidR="000B6BA9" w:rsidRPr="006A5413" w:rsidRDefault="000B6BA9" w:rsidP="000B6BA9">
      <w:pPr>
        <w:autoSpaceDE w:val="0"/>
        <w:autoSpaceDN w:val="0"/>
        <w:adjustRightInd w:val="0"/>
        <w:spacing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b/>
          <w:bCs/>
          <w:color w:val="000000"/>
          <w:sz w:val="24"/>
          <w:szCs w:val="24"/>
        </w:rPr>
        <w:t>VISTA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la Deliberazione del C.D.A. n. </w:t>
      </w:r>
      <w:r w:rsidRPr="006A5413">
        <w:rPr>
          <w:rFonts w:ascii="Calibri Light" w:hAnsi="Calibri Light" w:cs="Calibri Light"/>
          <w:color w:val="000000"/>
          <w:sz w:val="24"/>
          <w:szCs w:val="24"/>
          <w:highlight w:val="yellow"/>
        </w:rPr>
        <w:t>7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</w:t>
      </w:r>
      <w:r w:rsidR="00D701EA" w:rsidRPr="006A5413">
        <w:rPr>
          <w:rFonts w:ascii="Calibri Light" w:hAnsi="Calibri Light" w:cs="Calibri Light"/>
          <w:color w:val="000000"/>
          <w:sz w:val="24"/>
          <w:szCs w:val="24"/>
        </w:rPr>
        <w:t xml:space="preserve"> del  </w:t>
      </w:r>
      <w:r w:rsidR="00D701EA" w:rsidRPr="006A5413">
        <w:rPr>
          <w:rFonts w:ascii="Calibri Light" w:hAnsi="Calibri Light" w:cs="Calibri Light"/>
          <w:color w:val="000000"/>
          <w:sz w:val="24"/>
          <w:szCs w:val="24"/>
          <w:highlight w:val="yellow"/>
        </w:rPr>
        <w:t>20.12.2024</w:t>
      </w:r>
      <w:r w:rsidR="00D701EA" w:rsidRPr="006A5413">
        <w:rPr>
          <w:rFonts w:ascii="Calibri Light" w:hAnsi="Calibri Light" w:cs="Calibri Light"/>
          <w:color w:val="000000"/>
          <w:sz w:val="24"/>
          <w:szCs w:val="24"/>
        </w:rPr>
        <w:t xml:space="preserve">  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>rubricata “Approvazione bilancio di previsione 202</w:t>
      </w:r>
      <w:r w:rsidR="006A5413">
        <w:rPr>
          <w:rFonts w:ascii="Calibri Light" w:hAnsi="Calibri Light" w:cs="Calibri Light"/>
          <w:color w:val="000000"/>
          <w:sz w:val="24"/>
          <w:szCs w:val="24"/>
        </w:rPr>
        <w:t>5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>/202</w:t>
      </w:r>
      <w:r w:rsidR="006A5413">
        <w:rPr>
          <w:rFonts w:ascii="Calibri Light" w:hAnsi="Calibri Light" w:cs="Calibri Light"/>
          <w:color w:val="000000"/>
          <w:sz w:val="24"/>
          <w:szCs w:val="24"/>
        </w:rPr>
        <w:t>7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>”;</w:t>
      </w:r>
    </w:p>
    <w:p w14:paraId="7150E574" w14:textId="77777777" w:rsidR="000B6BA9" w:rsidRPr="006A5413" w:rsidRDefault="000B6BA9" w:rsidP="000B6BA9">
      <w:pPr>
        <w:autoSpaceDE w:val="0"/>
        <w:autoSpaceDN w:val="0"/>
        <w:adjustRightInd w:val="0"/>
        <w:spacing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b/>
          <w:bCs/>
          <w:color w:val="000000"/>
          <w:sz w:val="24"/>
          <w:szCs w:val="24"/>
        </w:rPr>
        <w:lastRenderedPageBreak/>
        <w:t>PRESO ATTO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del parere favorevole sul bilancio di previsione espresso dal Revisore Unico dei Conti del Comune di Villacidro nel verbale </w:t>
      </w:r>
      <w:r w:rsidRPr="00300E53">
        <w:rPr>
          <w:rFonts w:ascii="Calibri Light" w:hAnsi="Calibri Light" w:cs="Calibri Light"/>
          <w:color w:val="000000"/>
          <w:sz w:val="24"/>
          <w:szCs w:val="24"/>
          <w:highlight w:val="yellow"/>
        </w:rPr>
        <w:t>n. 3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del </w:t>
      </w:r>
      <w:r w:rsidRPr="00300E53">
        <w:rPr>
          <w:rFonts w:ascii="Calibri Light" w:hAnsi="Calibri Light" w:cs="Calibri Light"/>
          <w:color w:val="000000"/>
          <w:sz w:val="24"/>
          <w:szCs w:val="24"/>
          <w:highlight w:val="yellow"/>
        </w:rPr>
        <w:t>16/12/2024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>;</w:t>
      </w:r>
    </w:p>
    <w:p w14:paraId="477F8E79" w14:textId="77777777" w:rsidR="000B6BA9" w:rsidRPr="006A5413" w:rsidRDefault="000B6BA9" w:rsidP="000B6BA9">
      <w:pPr>
        <w:autoSpaceDE w:val="0"/>
        <w:autoSpaceDN w:val="0"/>
        <w:adjustRightInd w:val="0"/>
        <w:spacing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b/>
          <w:bCs/>
          <w:color w:val="000000"/>
          <w:sz w:val="24"/>
          <w:szCs w:val="24"/>
        </w:rPr>
        <w:t>ATTESA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la competenza del Consiglio Comunale all’adozione del presente atto;</w:t>
      </w:r>
    </w:p>
    <w:p w14:paraId="03899133" w14:textId="77777777" w:rsidR="000B6BA9" w:rsidRPr="006A5413" w:rsidRDefault="000B6BA9" w:rsidP="000B6BA9">
      <w:pPr>
        <w:autoSpaceDE w:val="0"/>
        <w:autoSpaceDN w:val="0"/>
        <w:adjustRightInd w:val="0"/>
        <w:spacing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6A5413">
        <w:rPr>
          <w:rFonts w:ascii="Calibri Light" w:hAnsi="Calibri Light" w:cs="Calibri Light"/>
          <w:b/>
          <w:bCs/>
          <w:color w:val="000000"/>
          <w:sz w:val="24"/>
          <w:szCs w:val="24"/>
        </w:rPr>
        <w:t>ACQUISITI</w:t>
      </w:r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i pareri favorevoli espressi ai sensi dell’art. 49, del </w:t>
      </w:r>
      <w:proofErr w:type="spellStart"/>
      <w:r w:rsidRPr="006A5413">
        <w:rPr>
          <w:rFonts w:ascii="Calibri Light" w:hAnsi="Calibri Light" w:cs="Calibri Light"/>
          <w:color w:val="000000"/>
          <w:sz w:val="24"/>
          <w:szCs w:val="24"/>
        </w:rPr>
        <w:t>D.Lgs.</w:t>
      </w:r>
      <w:proofErr w:type="spellEnd"/>
      <w:r w:rsidRPr="006A5413">
        <w:rPr>
          <w:rFonts w:ascii="Calibri Light" w:hAnsi="Calibri Light" w:cs="Calibri Light"/>
          <w:color w:val="000000"/>
          <w:sz w:val="24"/>
          <w:szCs w:val="24"/>
        </w:rPr>
        <w:t xml:space="preserve"> 18/08/2000, n. 267, in ordine alla regolarità tecnica della proposta di cui trattasi e dal Responsabile dell’Area Economico Finanziaria in merito alla regolarità contabile;</w:t>
      </w:r>
    </w:p>
    <w:p w14:paraId="7E7C52EB" w14:textId="77777777" w:rsidR="000B6BA9" w:rsidRPr="006A5413" w:rsidRDefault="000B6BA9" w:rsidP="000B6BA9">
      <w:pPr>
        <w:jc w:val="both"/>
        <w:rPr>
          <w:rFonts w:ascii="Calibri Light" w:hAnsi="Calibri Light" w:cs="Calibri Light"/>
          <w:sz w:val="24"/>
          <w:szCs w:val="24"/>
        </w:rPr>
      </w:pPr>
      <w:r w:rsidRPr="006A5413">
        <w:rPr>
          <w:rFonts w:ascii="Calibri Light" w:hAnsi="Calibri Light" w:cs="Calibri Light"/>
          <w:sz w:val="24"/>
          <w:szCs w:val="24"/>
        </w:rPr>
        <w:t>Con voti unanimi espressi per alzata di mano</w:t>
      </w:r>
    </w:p>
    <w:p w14:paraId="67C6AF4A" w14:textId="77777777" w:rsidR="000B6BA9" w:rsidRPr="006A5413" w:rsidRDefault="000B6BA9" w:rsidP="000B6BA9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6A5413">
        <w:rPr>
          <w:rFonts w:asciiTheme="majorHAnsi" w:hAnsiTheme="majorHAnsi" w:cstheme="majorHAnsi"/>
          <w:b/>
          <w:bCs/>
          <w:sz w:val="24"/>
          <w:szCs w:val="24"/>
        </w:rPr>
        <w:t>DELIBERA</w:t>
      </w:r>
    </w:p>
    <w:p w14:paraId="4C3FA79D" w14:textId="77777777" w:rsidR="000B6BA9" w:rsidRPr="006A5413" w:rsidRDefault="000B6BA9" w:rsidP="000B6BA9">
      <w:pPr>
        <w:jc w:val="both"/>
        <w:rPr>
          <w:rFonts w:asciiTheme="majorHAnsi" w:hAnsiTheme="majorHAnsi" w:cstheme="majorHAnsi"/>
          <w:sz w:val="24"/>
          <w:szCs w:val="24"/>
        </w:rPr>
      </w:pPr>
      <w:r w:rsidRPr="006A5413">
        <w:rPr>
          <w:rFonts w:asciiTheme="majorHAnsi" w:hAnsiTheme="majorHAnsi" w:cstheme="majorHAnsi"/>
          <w:b/>
          <w:bCs/>
          <w:sz w:val="24"/>
          <w:szCs w:val="24"/>
        </w:rPr>
        <w:t xml:space="preserve">DI RICHIAMARE </w:t>
      </w:r>
      <w:r w:rsidRPr="006A5413">
        <w:rPr>
          <w:rFonts w:asciiTheme="majorHAnsi" w:hAnsiTheme="majorHAnsi" w:cstheme="majorHAnsi"/>
          <w:sz w:val="24"/>
          <w:szCs w:val="24"/>
        </w:rPr>
        <w:t>interamente la premessa come parte integrante e sostanziale del presente atto;</w:t>
      </w:r>
    </w:p>
    <w:p w14:paraId="552C280D" w14:textId="3C8E9593" w:rsidR="000B6BA9" w:rsidRDefault="000B6BA9" w:rsidP="000B6BA9">
      <w:pPr>
        <w:jc w:val="both"/>
        <w:rPr>
          <w:rFonts w:asciiTheme="majorHAnsi" w:hAnsiTheme="majorHAnsi" w:cstheme="majorHAnsi"/>
          <w:sz w:val="24"/>
          <w:szCs w:val="24"/>
        </w:rPr>
      </w:pPr>
      <w:r w:rsidRPr="006A5413">
        <w:rPr>
          <w:rFonts w:asciiTheme="majorHAnsi" w:hAnsiTheme="majorHAnsi" w:cstheme="majorHAnsi"/>
          <w:b/>
          <w:bCs/>
          <w:sz w:val="24"/>
          <w:szCs w:val="24"/>
        </w:rPr>
        <w:t>DI APPROVARE</w:t>
      </w:r>
      <w:r w:rsidRPr="006A5413">
        <w:rPr>
          <w:rFonts w:asciiTheme="majorHAnsi" w:hAnsiTheme="majorHAnsi" w:cstheme="majorHAnsi"/>
          <w:sz w:val="24"/>
          <w:szCs w:val="24"/>
        </w:rPr>
        <w:t xml:space="preserve">, ai sensi dell’art. 174, comma 3 del </w:t>
      </w:r>
      <w:proofErr w:type="spellStart"/>
      <w:r w:rsidRPr="006A5413">
        <w:rPr>
          <w:rFonts w:asciiTheme="majorHAnsi" w:hAnsiTheme="majorHAnsi" w:cstheme="majorHAnsi"/>
          <w:sz w:val="24"/>
          <w:szCs w:val="24"/>
        </w:rPr>
        <w:t>D.Lgs.</w:t>
      </w:r>
      <w:proofErr w:type="spellEnd"/>
      <w:r w:rsidRPr="006A5413">
        <w:rPr>
          <w:rFonts w:asciiTheme="majorHAnsi" w:hAnsiTheme="majorHAnsi" w:cstheme="majorHAnsi"/>
          <w:sz w:val="24"/>
          <w:szCs w:val="24"/>
        </w:rPr>
        <w:t xml:space="preserve"> 267/2000 e degli art. 10 e 11 del </w:t>
      </w:r>
      <w:proofErr w:type="spellStart"/>
      <w:r w:rsidRPr="006A5413">
        <w:rPr>
          <w:rFonts w:asciiTheme="majorHAnsi" w:hAnsiTheme="majorHAnsi" w:cstheme="majorHAnsi"/>
          <w:sz w:val="24"/>
          <w:szCs w:val="24"/>
        </w:rPr>
        <w:t>D.Lgs.</w:t>
      </w:r>
      <w:proofErr w:type="spellEnd"/>
      <w:r w:rsidRPr="006A5413">
        <w:rPr>
          <w:rFonts w:asciiTheme="majorHAnsi" w:hAnsiTheme="majorHAnsi" w:cstheme="majorHAnsi"/>
          <w:sz w:val="24"/>
          <w:szCs w:val="24"/>
        </w:rPr>
        <w:t xml:space="preserve"> 118/2011, il bilancio di previsione finanziario per il triennio 202</w:t>
      </w:r>
      <w:r w:rsidR="00300E53">
        <w:rPr>
          <w:rFonts w:asciiTheme="majorHAnsi" w:hAnsiTheme="majorHAnsi" w:cstheme="majorHAnsi"/>
          <w:sz w:val="24"/>
          <w:szCs w:val="24"/>
        </w:rPr>
        <w:t>5</w:t>
      </w:r>
      <w:r w:rsidRPr="006A5413">
        <w:rPr>
          <w:rFonts w:asciiTheme="majorHAnsi" w:hAnsiTheme="majorHAnsi" w:cstheme="majorHAnsi"/>
          <w:sz w:val="24"/>
          <w:szCs w:val="24"/>
        </w:rPr>
        <w:t>/202</w:t>
      </w:r>
      <w:r w:rsidR="00300E53">
        <w:rPr>
          <w:rFonts w:asciiTheme="majorHAnsi" w:hAnsiTheme="majorHAnsi" w:cstheme="majorHAnsi"/>
          <w:sz w:val="24"/>
          <w:szCs w:val="24"/>
        </w:rPr>
        <w:t>7</w:t>
      </w:r>
      <w:r w:rsidRPr="006A5413">
        <w:rPr>
          <w:rFonts w:asciiTheme="majorHAnsi" w:hAnsiTheme="majorHAnsi" w:cstheme="majorHAnsi"/>
          <w:sz w:val="24"/>
          <w:szCs w:val="24"/>
        </w:rPr>
        <w:t xml:space="preserve"> redatto secondo lo schema </w:t>
      </w:r>
      <w:proofErr w:type="spellStart"/>
      <w:r w:rsidRPr="006A5413">
        <w:rPr>
          <w:rFonts w:asciiTheme="majorHAnsi" w:hAnsiTheme="majorHAnsi" w:cstheme="majorHAnsi"/>
          <w:sz w:val="24"/>
          <w:szCs w:val="24"/>
        </w:rPr>
        <w:t>all</w:t>
      </w:r>
      <w:proofErr w:type="spellEnd"/>
      <w:r w:rsidRPr="006A5413">
        <w:rPr>
          <w:rFonts w:asciiTheme="majorHAnsi" w:hAnsiTheme="majorHAnsi" w:cstheme="majorHAnsi"/>
          <w:sz w:val="24"/>
          <w:szCs w:val="24"/>
        </w:rPr>
        <w:t xml:space="preserve">. 9 al </w:t>
      </w:r>
      <w:proofErr w:type="spellStart"/>
      <w:r w:rsidRPr="006A5413">
        <w:rPr>
          <w:rFonts w:asciiTheme="majorHAnsi" w:hAnsiTheme="majorHAnsi" w:cstheme="majorHAnsi"/>
          <w:sz w:val="24"/>
          <w:szCs w:val="24"/>
        </w:rPr>
        <w:t>D.Lgs.</w:t>
      </w:r>
      <w:proofErr w:type="spellEnd"/>
      <w:r w:rsidRPr="006A5413">
        <w:rPr>
          <w:rFonts w:asciiTheme="majorHAnsi" w:hAnsiTheme="majorHAnsi" w:cstheme="majorHAnsi"/>
          <w:sz w:val="24"/>
          <w:szCs w:val="24"/>
        </w:rPr>
        <w:t xml:space="preserve"> 118/2011 e i suoi allegati costituenti parte integrante e sostanziale del presente atto e di cui si riportano gli equilibri finali:</w:t>
      </w:r>
    </w:p>
    <w:p w14:paraId="74F1FA34" w14:textId="02188AE4" w:rsidR="002A4CC7" w:rsidRDefault="002A4CC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br w:type="page"/>
      </w:r>
    </w:p>
    <w:p w14:paraId="0294F2D2" w14:textId="77777777" w:rsidR="002A4CC7" w:rsidRDefault="002A4CC7" w:rsidP="000B6BA9">
      <w:pPr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W w:w="9356" w:type="dxa"/>
        <w:tblLayout w:type="fixed"/>
        <w:tblLook w:val="0400" w:firstRow="0" w:lastRow="0" w:firstColumn="0" w:lastColumn="0" w:noHBand="0" w:noVBand="1"/>
      </w:tblPr>
      <w:tblGrid>
        <w:gridCol w:w="2836"/>
        <w:gridCol w:w="1700"/>
        <w:gridCol w:w="1560"/>
        <w:gridCol w:w="1559"/>
        <w:gridCol w:w="1701"/>
      </w:tblGrid>
      <w:tr w:rsidR="002A4CC7" w:rsidRPr="00020E5A" w14:paraId="4D5A339E" w14:textId="77777777" w:rsidTr="007D3994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D920C" w14:textId="77777777" w:rsidR="002A4CC7" w:rsidRPr="00020E5A" w:rsidRDefault="002A4CC7" w:rsidP="007D3994">
            <w:pPr>
              <w:widowControl w:val="0"/>
              <w:spacing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ENTRATE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C82D" w14:textId="77777777" w:rsidR="002A4CC7" w:rsidRPr="00020E5A" w:rsidRDefault="002A4CC7" w:rsidP="007D3994">
            <w:pPr>
              <w:widowControl w:val="0"/>
              <w:spacing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CASSA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           </w:t>
            </w: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ANNO 202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43CE4" w14:textId="77777777" w:rsidR="002A4CC7" w:rsidRPr="00020E5A" w:rsidRDefault="002A4CC7" w:rsidP="007D3994">
            <w:pPr>
              <w:widowControl w:val="0"/>
              <w:spacing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COMPETENZA ANNO 202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0C8CD" w14:textId="77777777" w:rsidR="002A4CC7" w:rsidRPr="00020E5A" w:rsidRDefault="002A4CC7" w:rsidP="007D3994">
            <w:pPr>
              <w:widowControl w:val="0"/>
              <w:spacing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COMPETENZA ANNO 202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42F5F" w14:textId="77777777" w:rsidR="002A4CC7" w:rsidRPr="00020E5A" w:rsidRDefault="002A4CC7" w:rsidP="007D3994">
            <w:pPr>
              <w:widowControl w:val="0"/>
              <w:spacing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COMPETENZA ANNO 202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8</w:t>
            </w:r>
          </w:p>
        </w:tc>
      </w:tr>
      <w:tr w:rsidR="002A4CC7" w:rsidRPr="00020E5A" w14:paraId="477BE241" w14:textId="77777777" w:rsidTr="007D3994">
        <w:trPr>
          <w:trHeight w:val="58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7B01A7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Fondo di cassa all'inizio dell'esercizio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FB218F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</w:t>
            </w:r>
          </w:p>
          <w:p w14:paraId="5A434623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56.618,90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E688BA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182381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170733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</w:tr>
      <w:tr w:rsidR="002A4CC7" w:rsidRPr="00020E5A" w14:paraId="41180E26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A3B053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Utilizzo avanzo di amministrazione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B062C2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950AC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287FB3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B7B142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2A4CC7" w:rsidRPr="00020E5A" w14:paraId="22F6B937" w14:textId="77777777" w:rsidTr="007D3994">
        <w:trPr>
          <w:trHeight w:val="742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E3AFD7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Fondo pluriennale vincolato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DC026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1AA3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7DF32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0A3DEF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2A4CC7" w:rsidRPr="00020E5A" w14:paraId="599CDD53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2C4014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1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Entrate correnti di natura tributaria, contributiva e perequativa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A33BF3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500,00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3F9658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500,00         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77893C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500,00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D87F6A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500,00</w:t>
            </w:r>
          </w:p>
        </w:tc>
      </w:tr>
      <w:tr w:rsidR="002A4CC7" w:rsidRPr="00020E5A" w14:paraId="6242842C" w14:textId="77777777" w:rsidTr="007D3994"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E38E7E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DE73B4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09AB04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F27E23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DDDBB5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</w:tr>
      <w:tr w:rsidR="002A4CC7" w:rsidRPr="00020E5A" w14:paraId="0C7D95FB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D56886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2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Trasferimenti correnti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79CAC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166.839,60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E22A9B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106.483,00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895806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106.483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029E3E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106.483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00</w:t>
            </w:r>
          </w:p>
        </w:tc>
      </w:tr>
      <w:tr w:rsidR="002A4CC7" w:rsidRPr="00020E5A" w14:paraId="792EF914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EF6F90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3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Entrate extratributarie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97B5B1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56.310,01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21FAA0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46.000,00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98B63A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46.000,00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938A57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46.000,00</w:t>
            </w:r>
          </w:p>
        </w:tc>
      </w:tr>
      <w:tr w:rsidR="002A4CC7" w:rsidRPr="00020E5A" w14:paraId="14522E44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166D6D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4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Entrate in conto capitale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0BD7F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2953E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C438C6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C2E830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</w:tr>
      <w:tr w:rsidR="002A4CC7" w:rsidRPr="00020E5A" w14:paraId="615F0DE0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C59C5A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0C04A2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1A8FD2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0C4461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A815F5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</w:tr>
      <w:tr w:rsidR="002A4CC7" w:rsidRPr="00020E5A" w14:paraId="7DBCB108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A43B38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5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Entrate da riduzione di attività finanziarie</w:t>
            </w:r>
          </w:p>
          <w:p w14:paraId="35809BF3" w14:textId="77777777" w:rsidR="002A4CC7" w:rsidRPr="00020E5A" w:rsidRDefault="002A4CC7" w:rsidP="007D3994">
            <w:pPr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EB937E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8616EC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2A46E1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EE1C33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2A4CC7" w:rsidRPr="00020E5A" w14:paraId="7959B08A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E07E4F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Totale entrate finali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8706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223.649,61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C15B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152.983,00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812C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152.983,00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48E8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152.983,00</w:t>
            </w:r>
          </w:p>
        </w:tc>
      </w:tr>
      <w:tr w:rsidR="002A4CC7" w:rsidRPr="00020E5A" w14:paraId="16AA5CE0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D68A2F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6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Accensione di prestiti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FDDDA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ED78D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501BFA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4E4B45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2A4CC7" w:rsidRPr="00020E5A" w14:paraId="4255CEAB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B9C9CE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7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Anticipazioni da istituto tesoriere/cassiere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7FA1CE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6F17A1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EA5361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8D8C8D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2A4CC7" w:rsidRPr="00020E5A" w14:paraId="0A7A47B7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660F7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9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Entrate per conto di terzi e partite di giro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22E4AE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14.582,18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ABD847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4F94D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14.500,00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2CF330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14.500,00</w:t>
            </w:r>
          </w:p>
        </w:tc>
      </w:tr>
      <w:tr w:rsidR="002A4CC7" w:rsidRPr="00020E5A" w14:paraId="1D19AB25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1DF1B4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Totale titoli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3F09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238.231,79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2265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167.483,00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6CA2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167.483,00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6B13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167.483,00</w:t>
            </w:r>
          </w:p>
        </w:tc>
      </w:tr>
      <w:tr w:rsidR="002A4CC7" w:rsidRPr="00020E5A" w14:paraId="7D523E60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C76C00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8739BC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BE8CFB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4F0D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C85B5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2A4CC7" w:rsidRPr="00020E5A" w14:paraId="4EDA4F48" w14:textId="77777777" w:rsidTr="007D3994">
        <w:trPr>
          <w:trHeight w:val="787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2FEFF8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TOTALE COMPLESSIVO ENTRATE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5EA1D" w14:textId="77777777" w:rsidR="002A4CC7" w:rsidRPr="00032444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 w:rsidRPr="00032444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294.850,69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3F64" w14:textId="77777777" w:rsidR="002A4CC7" w:rsidRPr="00A533F5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167.483,00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A58A" w14:textId="77777777" w:rsidR="002A4CC7" w:rsidRPr="00A533F5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167.483,00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25A2E" w14:textId="77777777" w:rsidR="002A4CC7" w:rsidRPr="00A533F5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167.483,00</w:t>
            </w:r>
          </w:p>
        </w:tc>
      </w:tr>
      <w:tr w:rsidR="002A4CC7" w:rsidRPr="00020E5A" w14:paraId="37DE5196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5C51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25D20" w14:textId="77777777" w:rsidR="002A4CC7" w:rsidRPr="00020E5A" w:rsidRDefault="002A4CC7" w:rsidP="007D3994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7C54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64F9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A916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2A4CC7" w:rsidRPr="00020E5A" w14:paraId="7C17310A" w14:textId="77777777" w:rsidTr="007D3994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CC1DB" w14:textId="77777777" w:rsidR="002A4CC7" w:rsidRPr="00020E5A" w:rsidRDefault="002A4CC7" w:rsidP="007D3994">
            <w:pPr>
              <w:widowControl w:val="0"/>
              <w:spacing w:after="200"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Fondo di cassa finale presunto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5CAA6" w14:textId="77777777" w:rsidR="002A4CC7" w:rsidRPr="00020E5A" w:rsidRDefault="002A4CC7" w:rsidP="007D399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100.718,45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CBFED8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BFC9BAE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ED3BAC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</w:tbl>
    <w:p w14:paraId="20C13AA1" w14:textId="77777777" w:rsidR="002A4CC7" w:rsidRDefault="002A4CC7" w:rsidP="002A4CC7">
      <w:pPr>
        <w:pStyle w:val="Corpotesto"/>
        <w:spacing w:line="360" w:lineRule="auto"/>
        <w:rPr>
          <w:lang w:eastAsia="ar-SA"/>
        </w:rPr>
      </w:pPr>
    </w:p>
    <w:p w14:paraId="2FF2FED7" w14:textId="77777777" w:rsidR="002A4CC7" w:rsidRDefault="002A4CC7" w:rsidP="002A4CC7">
      <w:pPr>
        <w:rPr>
          <w:lang w:eastAsia="ar-SA"/>
        </w:rPr>
      </w:pPr>
      <w:r>
        <w:rPr>
          <w:lang w:eastAsia="ar-SA"/>
        </w:rPr>
        <w:br w:type="page"/>
      </w:r>
    </w:p>
    <w:tbl>
      <w:tblPr>
        <w:tblW w:w="9180" w:type="dxa"/>
        <w:tblInd w:w="30" w:type="dxa"/>
        <w:tblLayout w:type="fixed"/>
        <w:tblLook w:val="0400" w:firstRow="0" w:lastRow="0" w:firstColumn="0" w:lastColumn="0" w:noHBand="0" w:noVBand="1"/>
      </w:tblPr>
      <w:tblGrid>
        <w:gridCol w:w="2840"/>
        <w:gridCol w:w="1520"/>
        <w:gridCol w:w="1560"/>
        <w:gridCol w:w="1559"/>
        <w:gridCol w:w="1701"/>
      </w:tblGrid>
      <w:tr w:rsidR="002A4CC7" w:rsidRPr="00020E5A" w14:paraId="21A34098" w14:textId="77777777" w:rsidTr="007D3994">
        <w:trPr>
          <w:trHeight w:val="375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75B78" w14:textId="77777777" w:rsidR="002A4CC7" w:rsidRPr="00020E5A" w:rsidRDefault="002A4CC7" w:rsidP="007D3994">
            <w:pPr>
              <w:widowControl w:val="0"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lastRenderedPageBreak/>
              <w:t>SPESE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CCA82" w14:textId="77777777" w:rsidR="002A4CC7" w:rsidRPr="00020E5A" w:rsidRDefault="002A4CC7" w:rsidP="007D3994">
            <w:pPr>
              <w:widowControl w:val="0"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CASSA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           </w:t>
            </w: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ANNO 202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1B4BE" w14:textId="77777777" w:rsidR="002A4CC7" w:rsidRPr="00020E5A" w:rsidRDefault="002A4CC7" w:rsidP="007D3994">
            <w:pPr>
              <w:widowControl w:val="0"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COMPETENZA ANNO 202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FBCDA" w14:textId="77777777" w:rsidR="002A4CC7" w:rsidRPr="00020E5A" w:rsidRDefault="002A4CC7" w:rsidP="007D3994">
            <w:pPr>
              <w:widowControl w:val="0"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COMPETENZA ANNO 202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D03B0" w14:textId="77777777" w:rsidR="002A4CC7" w:rsidRPr="00020E5A" w:rsidRDefault="002A4CC7" w:rsidP="007D3994">
            <w:pPr>
              <w:widowControl w:val="0"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COMPETENZA ANNO 202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8</w:t>
            </w:r>
          </w:p>
        </w:tc>
      </w:tr>
      <w:tr w:rsidR="002A4CC7" w:rsidRPr="00020E5A" w14:paraId="58487A51" w14:textId="77777777" w:rsidTr="007D3994">
        <w:trPr>
          <w:trHeight w:val="283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F1CFE7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C18BBC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1A9BB1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D39A75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D96D72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</w:tr>
      <w:tr w:rsidR="002A4CC7" w:rsidRPr="00020E5A" w14:paraId="690D525D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894F56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B59540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2B673B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241801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B9B97A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2A4CC7" w:rsidRPr="00020E5A" w14:paraId="740ED183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1D99D8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Disavanzo di amministrazione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A3C80F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3EEA6D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B41E8D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0507F2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2A4CC7" w:rsidRPr="00020E5A" w14:paraId="410F1199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887F81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906DE0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D40783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30FDF6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8BAA40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2A4CC7" w:rsidRPr="00020E5A" w14:paraId="5C21D0DA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A22E4D5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i/>
                <w:sz w:val="20"/>
                <w:szCs w:val="20"/>
              </w:rPr>
              <w:t>Titolo 1 - Spese correnti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B1BFCF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174.291,96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18288F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148.983,00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D8F746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148.983,00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9325E6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148.983,00</w:t>
            </w:r>
          </w:p>
        </w:tc>
      </w:tr>
      <w:tr w:rsidR="002A4CC7" w:rsidRPr="00020E5A" w14:paraId="5E2EF1EB" w14:textId="77777777" w:rsidTr="007D3994"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563568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i/>
                <w:sz w:val="20"/>
                <w:szCs w:val="20"/>
              </w:rPr>
              <w:t>- di cui fondo pluriennale vincolato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4B9413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7C66B4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7D045F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1D8973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2A4CC7" w:rsidRPr="00020E5A" w14:paraId="725231B5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3A8DA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717CEE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D25FBF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AFFF72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E7A92F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2A4CC7" w:rsidRPr="00020E5A" w14:paraId="287B995C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49F173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C0BCFD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1F2B8D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D67A98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29DFCC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2A4CC7" w:rsidRPr="00020E5A" w14:paraId="1A8C684F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8B728D4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2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Spese in conto capitale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A60EA8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4.000,00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8CFB01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4.000,00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862324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4.000,00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FEE463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4.000,00</w:t>
            </w:r>
          </w:p>
        </w:tc>
      </w:tr>
      <w:tr w:rsidR="002A4CC7" w:rsidRPr="00020E5A" w14:paraId="1DE9CEAE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8A56F9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i/>
                <w:sz w:val="20"/>
                <w:szCs w:val="20"/>
              </w:rPr>
              <w:t>- di cui fondo pluriennale vincolato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3751BE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47C436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3F0B76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A7580D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2A4CC7" w:rsidRPr="00020E5A" w14:paraId="4E1D8F3C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AA887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3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Spese per incremento di attività finanziarie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10092E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CDDCA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154B12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EDF6B1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2A4CC7" w:rsidRPr="00020E5A" w14:paraId="7730D8F0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0CCDB5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Totale spese finali.............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7B97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17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8.291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96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F35E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152.983,00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6118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152.983,00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D0F9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152.983,00</w:t>
            </w:r>
          </w:p>
        </w:tc>
      </w:tr>
      <w:tr w:rsidR="002A4CC7" w:rsidRPr="00020E5A" w14:paraId="6B36D035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FF7264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4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Rimborso di prestiti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D41BE8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3F41E4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CF7A8F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9D724E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</w:tr>
      <w:tr w:rsidR="002A4CC7" w:rsidRPr="00020E5A" w14:paraId="484FD53D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DE7219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5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Chiusura Anticipazioni da istituto tesoriere/cassiere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CBF1D6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0986E5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88C51A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FE3BFB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2A4CC7" w:rsidRPr="00020E5A" w14:paraId="3D7B3C3C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B462D2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7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Spese per conto terzi e partite di giro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3FEE13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15.8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40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9D3C4D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1F10F1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14.500,00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D9C585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14.500,00</w:t>
            </w:r>
          </w:p>
        </w:tc>
      </w:tr>
      <w:tr w:rsidR="002A4CC7" w:rsidRPr="00020E5A" w14:paraId="77EE38FC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C29720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Totale titoli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76F3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194.132,24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1754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16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7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.4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83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BD31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16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7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.4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83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EC2C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16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7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.4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83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00</w:t>
            </w:r>
          </w:p>
        </w:tc>
      </w:tr>
      <w:tr w:rsidR="002A4CC7" w:rsidRPr="00020E5A" w14:paraId="03A4A03D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160F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F053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86CE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60D5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969C" w14:textId="77777777" w:rsidR="002A4CC7" w:rsidRPr="00020E5A" w:rsidRDefault="002A4CC7" w:rsidP="007D3994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2A4CC7" w:rsidRPr="00020E5A" w14:paraId="569F4AFE" w14:textId="77777777" w:rsidTr="007D3994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A3F529" w14:textId="77777777" w:rsidR="002A4CC7" w:rsidRPr="00020E5A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TOTALE COMPLESSIVO SPESE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011E27" w14:textId="77777777" w:rsidR="002A4CC7" w:rsidRPr="00A533F5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194.132,24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EAC77" w14:textId="77777777" w:rsidR="002A4CC7" w:rsidRPr="00A533F5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16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7</w:t>
            </w: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.4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83</w:t>
            </w: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B1318" w14:textId="77777777" w:rsidR="002A4CC7" w:rsidRPr="00A533F5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16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7</w:t>
            </w: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.4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83</w:t>
            </w: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84C98" w14:textId="77777777" w:rsidR="002A4CC7" w:rsidRPr="00A533F5" w:rsidRDefault="002A4CC7" w:rsidP="007D3994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16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7</w:t>
            </w: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.4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83</w:t>
            </w: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</w:tr>
    </w:tbl>
    <w:p w14:paraId="3DB634F4" w14:textId="77777777" w:rsidR="00906222" w:rsidRDefault="00906222" w:rsidP="000B6BA9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4DC63712" w14:textId="77777777" w:rsidR="000B6BA9" w:rsidRPr="002E5CCC" w:rsidRDefault="000B6BA9" w:rsidP="000B6BA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329FFB93" w14:textId="77777777" w:rsidR="000B6BA9" w:rsidRPr="00A22168" w:rsidRDefault="000B6BA9" w:rsidP="000B6BA9">
      <w:pPr>
        <w:rPr>
          <w:rFonts w:asciiTheme="majorHAnsi" w:hAnsiTheme="majorHAnsi" w:cstheme="majorHAnsi"/>
          <w:sz w:val="24"/>
          <w:szCs w:val="24"/>
        </w:rPr>
      </w:pPr>
      <w:r w:rsidRPr="00A22168">
        <w:rPr>
          <w:rFonts w:asciiTheme="majorHAnsi" w:hAnsiTheme="majorHAnsi" w:cstheme="majorHAnsi"/>
          <w:b/>
          <w:bCs/>
          <w:sz w:val="24"/>
          <w:szCs w:val="24"/>
        </w:rPr>
        <w:t>DI RICHIAMARE</w:t>
      </w:r>
      <w:r w:rsidRPr="00A22168">
        <w:rPr>
          <w:rFonts w:asciiTheme="majorHAnsi" w:hAnsiTheme="majorHAnsi" w:cstheme="majorHAnsi"/>
          <w:sz w:val="24"/>
          <w:szCs w:val="24"/>
        </w:rPr>
        <w:t xml:space="preserve"> integralmente il parere n. </w:t>
      </w:r>
      <w:r w:rsidRPr="00A22168">
        <w:rPr>
          <w:rFonts w:asciiTheme="majorHAnsi" w:hAnsiTheme="majorHAnsi" w:cstheme="majorHAnsi"/>
          <w:sz w:val="24"/>
          <w:szCs w:val="24"/>
          <w:highlight w:val="yellow"/>
        </w:rPr>
        <w:t>3/2024</w:t>
      </w:r>
      <w:r w:rsidRPr="00A22168">
        <w:rPr>
          <w:rFonts w:asciiTheme="majorHAnsi" w:hAnsiTheme="majorHAnsi" w:cstheme="majorHAnsi"/>
          <w:sz w:val="24"/>
          <w:szCs w:val="24"/>
        </w:rPr>
        <w:t xml:space="preserve"> dell’organo di revisione;</w:t>
      </w:r>
    </w:p>
    <w:p w14:paraId="3E83102B" w14:textId="77777777" w:rsidR="000B6BA9" w:rsidRPr="00A22168" w:rsidRDefault="000B6BA9" w:rsidP="000B6BA9">
      <w:pPr>
        <w:rPr>
          <w:rFonts w:asciiTheme="majorHAnsi" w:hAnsiTheme="majorHAnsi" w:cstheme="majorHAnsi"/>
          <w:sz w:val="24"/>
          <w:szCs w:val="24"/>
        </w:rPr>
      </w:pPr>
      <w:r w:rsidRPr="00A22168">
        <w:rPr>
          <w:rFonts w:asciiTheme="majorHAnsi" w:hAnsiTheme="majorHAnsi" w:cstheme="majorHAnsi"/>
          <w:b/>
          <w:bCs/>
          <w:sz w:val="24"/>
          <w:szCs w:val="24"/>
        </w:rPr>
        <w:t>DI PUBBLICARE</w:t>
      </w:r>
      <w:r w:rsidRPr="00A22168">
        <w:rPr>
          <w:rFonts w:asciiTheme="majorHAnsi" w:hAnsiTheme="majorHAnsi" w:cstheme="majorHAnsi"/>
          <w:sz w:val="24"/>
          <w:szCs w:val="24"/>
        </w:rPr>
        <w:t xml:space="preserve"> la presente deliberazione in “Amministrazione Trasparente”, ai sensi del </w:t>
      </w:r>
      <w:proofErr w:type="spellStart"/>
      <w:r w:rsidRPr="00A22168">
        <w:rPr>
          <w:rFonts w:asciiTheme="majorHAnsi" w:hAnsiTheme="majorHAnsi" w:cstheme="majorHAnsi"/>
          <w:sz w:val="24"/>
          <w:szCs w:val="24"/>
        </w:rPr>
        <w:t>D.Lgs.</w:t>
      </w:r>
      <w:proofErr w:type="spellEnd"/>
      <w:r w:rsidRPr="00A22168">
        <w:rPr>
          <w:rFonts w:asciiTheme="majorHAnsi" w:hAnsiTheme="majorHAnsi" w:cstheme="majorHAnsi"/>
          <w:sz w:val="24"/>
          <w:szCs w:val="24"/>
        </w:rPr>
        <w:t xml:space="preserve"> 33/2013 e </w:t>
      </w:r>
      <w:proofErr w:type="spellStart"/>
      <w:r w:rsidRPr="00A22168">
        <w:rPr>
          <w:rFonts w:asciiTheme="majorHAnsi" w:hAnsiTheme="majorHAnsi" w:cstheme="majorHAnsi"/>
          <w:sz w:val="24"/>
          <w:szCs w:val="24"/>
        </w:rPr>
        <w:t>s.m.i.</w:t>
      </w:r>
      <w:proofErr w:type="spellEnd"/>
    </w:p>
    <w:p w14:paraId="7A35B65B" w14:textId="4C683DD8" w:rsidR="00A06A83" w:rsidRDefault="000B6BA9">
      <w:r w:rsidRPr="00A22168">
        <w:rPr>
          <w:rFonts w:asciiTheme="majorHAnsi" w:hAnsiTheme="majorHAnsi" w:cstheme="majorHAnsi"/>
          <w:b/>
          <w:bCs/>
          <w:sz w:val="24"/>
          <w:szCs w:val="24"/>
        </w:rPr>
        <w:t>DI DICHIARARE</w:t>
      </w:r>
      <w:r w:rsidRPr="00A22168">
        <w:rPr>
          <w:rFonts w:asciiTheme="majorHAnsi" w:hAnsiTheme="majorHAnsi" w:cstheme="majorHAnsi"/>
          <w:sz w:val="24"/>
          <w:szCs w:val="24"/>
        </w:rPr>
        <w:t xml:space="preserve"> la presente deliberazione immediatamente eseguibile ai sensi dell’art. 134 c. 4 del TUEL 267/2000.</w:t>
      </w:r>
    </w:p>
    <w:sectPr w:rsidR="00A06A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410D6"/>
    <w:multiLevelType w:val="hybridMultilevel"/>
    <w:tmpl w:val="4762FA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1646A"/>
    <w:multiLevelType w:val="hybridMultilevel"/>
    <w:tmpl w:val="1180C1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582199">
    <w:abstractNumId w:val="1"/>
  </w:num>
  <w:num w:numId="2" w16cid:durableId="82340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270"/>
    <w:rsid w:val="000923B3"/>
    <w:rsid w:val="000B6BA9"/>
    <w:rsid w:val="000C28F1"/>
    <w:rsid w:val="00262D9A"/>
    <w:rsid w:val="002A4CC7"/>
    <w:rsid w:val="00300E53"/>
    <w:rsid w:val="005F20DC"/>
    <w:rsid w:val="006A5413"/>
    <w:rsid w:val="00906222"/>
    <w:rsid w:val="009978F6"/>
    <w:rsid w:val="009D7270"/>
    <w:rsid w:val="00A06A83"/>
    <w:rsid w:val="00A15671"/>
    <w:rsid w:val="00A22168"/>
    <w:rsid w:val="00AE410C"/>
    <w:rsid w:val="00B04665"/>
    <w:rsid w:val="00B74445"/>
    <w:rsid w:val="00D701EA"/>
    <w:rsid w:val="00FE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0DE5A"/>
  <w15:chartTrackingRefBased/>
  <w15:docId w15:val="{1CCE9D3B-D3AF-4B22-9150-4F88B8AF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6A83"/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1"/>
    <w:uiPriority w:val="99"/>
    <w:semiHidden/>
    <w:unhideWhenUsed/>
    <w:rsid w:val="00A06A83"/>
    <w:pPr>
      <w:spacing w:after="120"/>
    </w:pPr>
  </w:style>
  <w:style w:type="character" w:customStyle="1" w:styleId="CorpotestoCarattere">
    <w:name w:val="Corpo testo Carattere"/>
    <w:basedOn w:val="Carpredefinitoparagrafo"/>
    <w:uiPriority w:val="99"/>
    <w:semiHidden/>
    <w:rsid w:val="00A06A83"/>
    <w:rPr>
      <w:kern w:val="0"/>
      <w14:ligatures w14:val="none"/>
    </w:r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sid w:val="00A06A83"/>
    <w:rPr>
      <w:kern w:val="0"/>
      <w14:ligatures w14:val="none"/>
    </w:rPr>
  </w:style>
  <w:style w:type="paragraph" w:styleId="Paragrafoelenco">
    <w:name w:val="List Paragraph"/>
    <w:basedOn w:val="Normale"/>
    <w:uiPriority w:val="34"/>
    <w:qFormat/>
    <w:rsid w:val="000B6BA9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1030</Words>
  <Characters>5934</Characters>
  <Application>Microsoft Office Word</Application>
  <DocSecurity>0</DocSecurity>
  <Lines>329</Lines>
  <Paragraphs>204</Paragraphs>
  <ScaleCrop>false</ScaleCrop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 PAOLO SCANU</dc:creator>
  <cp:keywords/>
  <dc:description/>
  <cp:lastModifiedBy>Debora Aru</cp:lastModifiedBy>
  <cp:revision>11</cp:revision>
  <dcterms:created xsi:type="dcterms:W3CDTF">2024-12-18T10:58:00Z</dcterms:created>
  <dcterms:modified xsi:type="dcterms:W3CDTF">2026-03-16T18:59:00Z</dcterms:modified>
</cp:coreProperties>
</file>